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5" w:rsidRDefault="0082587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Dr Vincent Qin</w:t>
      </w:r>
    </w:p>
    <w:p w:rsidR="001865D5" w:rsidRDefault="001865D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1865D5" w:rsidRDefault="001865D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1865D5" w:rsidRDefault="00825876">
      <w:pPr>
        <w:spacing w:after="0" w:line="240" w:lineRule="auto"/>
        <w:rPr>
          <w:rFonts w:ascii="Verdana" w:eastAsia="Verdana" w:hAnsi="Verdana" w:cs="Verdana"/>
          <w:b/>
          <w:color w:val="000000"/>
          <w:sz w:val="3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Le kératocône</w:t>
      </w:r>
    </w:p>
    <w:p w:rsidR="001865D5" w:rsidRDefault="00825876">
      <w:pPr>
        <w:spacing w:before="100" w:after="24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Qu'est-ce qu’un kératocône ?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Le kératocône est une maladie de l’œil qui se traduit par un amincissement du stroma cornéen qui entraîne une déformation progressive de la cornée qui prend alors la forme d’un « cône ». Cette déformation crée un défaut visuel de type astigmatisme irréguli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er.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La maladie est découverte habituellement autour de l’âge de 20-30 ans , elle touche 1 personne sur 2000.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Le kératocône touche le plus souvent les deux yeux, d’une manière asymétrique ; l’évolution du kératocône est imprévisible.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On ne connaît pas les c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auses exactes du kératocône, cette maladie est probablement génétique, aucun gène n’a été à ce jour identifié. On retrouve parfois des antécédents de kératocône dans la famille.</w:t>
      </w:r>
    </w:p>
    <w:p w:rsidR="001865D5" w:rsidRDefault="00825876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object w:dxaOrig="5760" w:dyaOrig="2937">
          <v:rect id="rectole0000000000" o:spid="_x0000_i1025" style="width:4in;height:147pt" o:ole="" o:preferrelative="t" stroked="f">
            <v:imagedata r:id="rId4" o:title=""/>
          </v:rect>
          <o:OLEObject Type="Embed" ProgID="StaticMetafile" ShapeID="rectole0000000000" DrawAspect="Content" ObjectID="_1550131250" r:id="rId5"/>
        </w:object>
      </w:r>
    </w:p>
    <w:p w:rsidR="001865D5" w:rsidRDefault="001865D5">
      <w:pPr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1865D5" w:rsidRDefault="00825876">
      <w:pPr>
        <w:spacing w:before="100" w:after="24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Quels sont les symptômes ?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Le kératocône peut entraîner une vision brouillée et déformée dans les premiers stades.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A un stade plus évolué, une intolérance à la lumière, un larmoiement peuvent apparaître.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Quels sont les examens à réaliser ?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br/>
        <w:t>Une mesure de l’épaisseur de la cornée 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pachymétrie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. L’épaisseur cornéenne centrale est diminuée dans les kératocônes (inférieure à 500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μm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).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Une topographie cornéenne qui retrouve un astigmatisme irrégulier.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Quels sont les traitements possibles ?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Les formes mineures sont corrigées par des lu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nettes ou des lentilles souples.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Lorsque les lunettes ou les lentilles souples ne sont pas suffisantes, une correction en lentilles de contact rigides permet d’améliorer la vision.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Si les lentilles sont mal tolérées et que la cornée est transparente, une c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hirurgie de l’œil avec mise en place d’anneaux intra-cornéens peut être proposée.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Si le kératocône évolue, un traitement existe pour tenter de ralentir la progression de la maladie, ce traitement est le « 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collagen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corneal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cross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FFFFF"/>
        </w:rPr>
        <w:t>linking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FFFFF"/>
        </w:rPr>
        <w:t> » (CXL).</w:t>
      </w:r>
    </w:p>
    <w:p w:rsidR="001865D5" w:rsidRDefault="00825876">
      <w:pPr>
        <w:spacing w:before="100" w:after="10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Enfin, quan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d la cornée perd sa transparence au centre, le seul traitement qui peut améliorer la vision est une intervention chirurgicale de </w:t>
      </w:r>
      <w:hyperlink r:id="rId6">
        <w:r>
          <w:rPr>
            <w:rFonts w:ascii="Arial" w:eastAsia="Arial" w:hAnsi="Arial" w:cs="Arial"/>
            <w:color w:val="551A8B"/>
            <w:sz w:val="20"/>
            <w:u w:val="single"/>
            <w:shd w:val="clear" w:color="auto" w:fill="FFFFFF"/>
          </w:rPr>
          <w:t>greffe de cornée</w:t>
        </w:r>
      </w:hyperlink>
      <w:r>
        <w:rPr>
          <w:rFonts w:ascii="Arial" w:eastAsia="Arial" w:hAnsi="Arial" w:cs="Arial"/>
          <w:color w:val="000000"/>
          <w:sz w:val="20"/>
          <w:shd w:val="clear" w:color="auto" w:fill="FFFFFF"/>
        </w:rPr>
        <w:t> lamellaire antérieure ou transfixiante.</w:t>
      </w:r>
    </w:p>
    <w:p w:rsidR="001865D5" w:rsidRDefault="001865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18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5D5"/>
    <w:rsid w:val="001865D5"/>
    <w:rsid w:val="008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D1BC"/>
  <w15:docId w15:val="{AE252C5D-4F29-4B7B-A07E-931AD0D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ophtainfos/greffe-de-corne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Rahali</cp:lastModifiedBy>
  <cp:revision>2</cp:revision>
  <dcterms:created xsi:type="dcterms:W3CDTF">2017-03-04T10:14:00Z</dcterms:created>
  <dcterms:modified xsi:type="dcterms:W3CDTF">2017-03-04T10:14:00Z</dcterms:modified>
</cp:coreProperties>
</file>